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96" w:rsidRDefault="004E3F96" w:rsidP="004E3F96">
      <w:pPr>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lang w:val="en-US" w:eastAsia="en-US"/>
        </w:rPr>
        <w:drawing>
          <wp:inline distT="0" distB="0" distL="0" distR="0" wp14:anchorId="77882A65" wp14:editId="3DCF4BB8">
            <wp:extent cx="477982" cy="304800"/>
            <wp:effectExtent l="0" t="0" r="0" b="0"/>
            <wp:docPr id="2" name="Image 2" descr="E:\1mon site\img\logo_lien_tarek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mon site\img\logo_lien_tarekda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721" cy="305271"/>
                    </a:xfrm>
                    <a:prstGeom prst="rect">
                      <a:avLst/>
                    </a:prstGeom>
                    <a:noFill/>
                    <a:ln>
                      <a:noFill/>
                    </a:ln>
                  </pic:spPr>
                </pic:pic>
              </a:graphicData>
            </a:graphic>
          </wp:inline>
        </w:drawing>
      </w:r>
    </w:p>
    <w:p w:rsidR="004E3F96" w:rsidRPr="007403DB" w:rsidRDefault="004B5123" w:rsidP="004E3F96">
      <w:pPr>
        <w:jc w:val="center"/>
        <w:rPr>
          <w:rFonts w:ascii="Garamond" w:hAnsi="Garamond" w:cstheme="majorBidi"/>
          <w:b/>
          <w:bCs/>
          <w:color w:val="0070C0"/>
        </w:rPr>
      </w:pPr>
      <w:r w:rsidRPr="004B5123">
        <w:rPr>
          <w:rFonts w:ascii="Garamond" w:hAnsi="Garamond" w:cstheme="majorBidi"/>
          <w:b/>
          <w:bCs/>
          <w:color w:val="0070C0"/>
        </w:rPr>
        <w:t>www.tarekdata.rf.gd</w:t>
      </w:r>
      <w:bookmarkStart w:id="0" w:name="_GoBack"/>
      <w:bookmarkEnd w:id="0"/>
    </w:p>
    <w:p w:rsidR="000518CA" w:rsidRPr="000518CA" w:rsidRDefault="000518CA" w:rsidP="000518CA">
      <w:pPr>
        <w:shd w:val="clear" w:color="auto" w:fill="FFFFFF" w:themeFill="background1"/>
        <w:spacing w:before="100" w:beforeAutospacing="1" w:after="100" w:afterAutospacing="1"/>
        <w:outlineLvl w:val="1"/>
        <w:rPr>
          <w:rFonts w:ascii="Verdana" w:hAnsi="Verdana"/>
          <w:b/>
          <w:bCs/>
          <w:i/>
          <w:iCs/>
          <w:color w:val="000000" w:themeColor="text1"/>
          <w:kern w:val="36"/>
          <w:sz w:val="32"/>
          <w:szCs w:val="32"/>
          <w:u w:val="single"/>
        </w:rPr>
      </w:pPr>
      <w:r w:rsidRPr="000518CA">
        <w:rPr>
          <w:rFonts w:ascii="Verdana" w:hAnsi="Verdana"/>
          <w:b/>
          <w:bCs/>
          <w:i/>
          <w:iCs/>
          <w:color w:val="000000" w:themeColor="text1"/>
          <w:kern w:val="36"/>
          <w:sz w:val="32"/>
          <w:szCs w:val="32"/>
          <w:u w:val="single"/>
        </w:rPr>
        <w:t xml:space="preserve">-Analyse granulométrique par voie sèche (sur le </w:t>
      </w:r>
      <w:r w:rsidRPr="000518CA">
        <w:rPr>
          <w:rStyle w:val="adef"/>
          <w:rFonts w:ascii="Verdana" w:hAnsi="Verdana"/>
          <w:b/>
          <w:bCs/>
          <w:i/>
          <w:iCs/>
          <w:color w:val="000000" w:themeColor="text1"/>
          <w:kern w:val="36"/>
          <w:sz w:val="32"/>
          <w:szCs w:val="32"/>
          <w:u w:val="single"/>
        </w:rPr>
        <w:t>sable</w:t>
      </w:r>
      <w:r w:rsidRPr="000518CA">
        <w:rPr>
          <w:rFonts w:ascii="Verdana" w:hAnsi="Verdana"/>
          <w:b/>
          <w:bCs/>
          <w:i/>
          <w:iCs/>
          <w:color w:val="000000" w:themeColor="text1"/>
          <w:kern w:val="36"/>
          <w:sz w:val="32"/>
          <w:szCs w:val="32"/>
          <w:u w:val="single"/>
        </w:rPr>
        <w:t>)</w:t>
      </w:r>
      <w:r>
        <w:rPr>
          <w:rFonts w:ascii="Verdana" w:hAnsi="Verdana"/>
          <w:b/>
          <w:bCs/>
          <w:i/>
          <w:iCs/>
          <w:color w:val="000000" w:themeColor="text1"/>
          <w:kern w:val="36"/>
          <w:sz w:val="32"/>
          <w:szCs w:val="32"/>
          <w:u w:val="single"/>
        </w:rPr>
        <w:t>-</w:t>
      </w:r>
    </w:p>
    <w:p w:rsidR="000518CA" w:rsidRPr="000518CA" w:rsidRDefault="000518CA" w:rsidP="000518CA">
      <w:pPr>
        <w:shd w:val="clear" w:color="auto" w:fill="FFFFFF"/>
        <w:spacing w:before="240" w:after="75"/>
        <w:outlineLvl w:val="2"/>
        <w:rPr>
          <w:rFonts w:ascii="Verdana" w:hAnsi="Verdana"/>
          <w:b/>
          <w:bCs/>
          <w:color w:val="000000" w:themeColor="text1"/>
          <w:sz w:val="26"/>
          <w:szCs w:val="26"/>
          <w:u w:val="single"/>
        </w:rPr>
      </w:pPr>
      <w:r>
        <w:rPr>
          <w:rFonts w:ascii="Verdana" w:hAnsi="Verdana"/>
          <w:b/>
          <w:bCs/>
          <w:color w:val="000000" w:themeColor="text1"/>
          <w:sz w:val="26"/>
          <w:szCs w:val="26"/>
          <w:u w:val="single"/>
        </w:rPr>
        <w:t>1-</w:t>
      </w:r>
      <w:r w:rsidRPr="000518CA">
        <w:rPr>
          <w:rFonts w:ascii="Verdana" w:hAnsi="Verdana"/>
          <w:b/>
          <w:bCs/>
          <w:color w:val="000000" w:themeColor="text1"/>
          <w:sz w:val="26"/>
          <w:szCs w:val="26"/>
          <w:u w:val="single"/>
        </w:rPr>
        <w:t>But de l'essai</w:t>
      </w:r>
      <w:r>
        <w:rPr>
          <w:rFonts w:ascii="Verdana" w:hAnsi="Verdana"/>
          <w:b/>
          <w:bCs/>
          <w:color w:val="000000" w:themeColor="text1"/>
          <w:sz w:val="26"/>
          <w:szCs w:val="26"/>
          <w:u w:val="single"/>
        </w:rPr>
        <w:t>:</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t xml:space="preserve">  L'analyse granulométrique permet de déterminer la grosseur et les pourcentages pondéraux respectifs des différentes familles de grains constituant les échantillons. Elle s'applique à tous les granulats de dimension nominale inférieure ou égale à 63 mm, à l'exclusion des </w:t>
      </w:r>
      <w:r w:rsidRPr="00BA0BE8">
        <w:rPr>
          <w:rStyle w:val="adef"/>
          <w:color w:val="000000" w:themeColor="text1"/>
        </w:rPr>
        <w:t>fillers</w:t>
      </w:r>
      <w:r w:rsidRPr="00BA0BE8">
        <w:rPr>
          <w:color w:val="000000" w:themeColor="text1"/>
        </w:rPr>
        <w:t>.</w:t>
      </w:r>
    </w:p>
    <w:p w:rsidR="000518CA" w:rsidRPr="00BA0BE8" w:rsidRDefault="00BA0BE8" w:rsidP="000518CA">
      <w:pPr>
        <w:shd w:val="clear" w:color="auto" w:fill="FFFFFF"/>
        <w:spacing w:before="45" w:after="45" w:line="360" w:lineRule="auto"/>
        <w:ind w:left="45" w:right="45"/>
        <w:rPr>
          <w:color w:val="000000" w:themeColor="text1"/>
        </w:rPr>
      </w:pPr>
      <w:r>
        <w:rPr>
          <w:color w:val="000000" w:themeColor="text1"/>
        </w:rPr>
        <w:t xml:space="preserve">  </w:t>
      </w:r>
      <w:r w:rsidR="000518CA" w:rsidRPr="00BA0BE8">
        <w:rPr>
          <w:color w:val="000000" w:themeColor="text1"/>
        </w:rPr>
        <w:t xml:space="preserve">A noter qu'il faut éviter la confusion entre la </w:t>
      </w:r>
      <w:r w:rsidR="000518CA" w:rsidRPr="00BA0BE8">
        <w:rPr>
          <w:rStyle w:val="adef"/>
          <w:color w:val="000000" w:themeColor="text1"/>
        </w:rPr>
        <w:t>granulométrie</w:t>
      </w:r>
      <w:r w:rsidR="000518CA" w:rsidRPr="00BA0BE8">
        <w:rPr>
          <w:color w:val="000000" w:themeColor="text1"/>
        </w:rPr>
        <w:t xml:space="preserve"> qui s'intéresse à la détermination de la dimension des grains et la </w:t>
      </w:r>
      <w:r w:rsidR="000518CA" w:rsidRPr="00BA0BE8">
        <w:rPr>
          <w:rStyle w:val="adef"/>
          <w:color w:val="000000" w:themeColor="text1"/>
        </w:rPr>
        <w:t>granularité</w:t>
      </w:r>
      <w:r w:rsidR="000518CA" w:rsidRPr="00BA0BE8">
        <w:rPr>
          <w:color w:val="000000" w:themeColor="text1"/>
        </w:rPr>
        <w:t xml:space="preserve"> qui concerne la distribution dimensionnelle des grains d'un granulat.</w:t>
      </w:r>
    </w:p>
    <w:p w:rsidR="000518CA" w:rsidRPr="00BA0BE8" w:rsidRDefault="000518CA" w:rsidP="000518CA">
      <w:pPr>
        <w:shd w:val="clear" w:color="auto" w:fill="FFFFFF"/>
        <w:spacing w:before="45" w:after="45" w:line="360" w:lineRule="auto"/>
        <w:ind w:left="45" w:right="45"/>
        <w:rPr>
          <w:color w:val="000000" w:themeColor="text1"/>
        </w:rPr>
      </w:pPr>
      <w:r w:rsidRPr="00BA0BE8">
        <w:rPr>
          <w:rFonts w:ascii="Verdana" w:hAnsi="Verdana"/>
          <w:b/>
          <w:bCs/>
          <w:color w:val="000000" w:themeColor="text1"/>
        </w:rPr>
        <w:t xml:space="preserve">  </w:t>
      </w:r>
      <w:r w:rsidRPr="00BA0BE8">
        <w:rPr>
          <w:color w:val="000000" w:themeColor="text1"/>
        </w:rPr>
        <w:t xml:space="preserve">L'essai consiste à classer les différents grains constituants l'échantillon en utilisant une série de </w:t>
      </w:r>
      <w:r w:rsidRPr="00BA0BE8">
        <w:rPr>
          <w:rStyle w:val="adef"/>
          <w:color w:val="000000" w:themeColor="text1"/>
        </w:rPr>
        <w:t>tamis</w:t>
      </w:r>
      <w:r w:rsidRPr="00BA0BE8">
        <w:rPr>
          <w:color w:val="000000" w:themeColor="text1"/>
        </w:rPr>
        <w:t xml:space="preserve">, emboîtés les </w:t>
      </w:r>
      <w:proofErr w:type="spellStart"/>
      <w:r w:rsidRPr="00BA0BE8">
        <w:rPr>
          <w:color w:val="000000" w:themeColor="text1"/>
        </w:rPr>
        <w:t>un</w:t>
      </w:r>
      <w:proofErr w:type="spellEnd"/>
      <w:r w:rsidRPr="00BA0BE8">
        <w:rPr>
          <w:color w:val="000000" w:themeColor="text1"/>
        </w:rPr>
        <w:t xml:space="preserve"> sur les autres, dont les dimensions des ouvertures sont décroissantes du haut vers le bas. Le matériau étudié est placé en partie supérieure des </w:t>
      </w:r>
      <w:r w:rsidRPr="00BA0BE8">
        <w:rPr>
          <w:rStyle w:val="adef"/>
          <w:color w:val="000000" w:themeColor="text1"/>
        </w:rPr>
        <w:t>tamis</w:t>
      </w:r>
      <w:r w:rsidRPr="00BA0BE8">
        <w:rPr>
          <w:color w:val="000000" w:themeColor="text1"/>
        </w:rPr>
        <w:t xml:space="preserve"> et les classements des grains s'obtiennent par vibration de la colonne de </w:t>
      </w:r>
      <w:r w:rsidRPr="00BA0BE8">
        <w:rPr>
          <w:rStyle w:val="adef"/>
          <w:color w:val="000000" w:themeColor="text1"/>
        </w:rPr>
        <w:t>tamis</w:t>
      </w:r>
      <w:r w:rsidRPr="00BA0BE8">
        <w:rPr>
          <w:color w:val="000000" w:themeColor="text1"/>
        </w:rPr>
        <w:t>.</w:t>
      </w:r>
    </w:p>
    <w:p w:rsidR="000518CA" w:rsidRPr="000518CA" w:rsidRDefault="000518CA" w:rsidP="000518CA">
      <w:pPr>
        <w:shd w:val="clear" w:color="auto" w:fill="FFFFFF"/>
        <w:spacing w:before="45" w:after="45" w:line="360" w:lineRule="auto"/>
        <w:ind w:left="45" w:right="45"/>
        <w:rPr>
          <w:rFonts w:ascii="Verdana" w:hAnsi="Verdana"/>
          <w:b/>
          <w:bCs/>
          <w:color w:val="000000" w:themeColor="text1"/>
          <w:sz w:val="26"/>
          <w:szCs w:val="26"/>
          <w:u w:val="single"/>
        </w:rPr>
      </w:pPr>
      <w:r>
        <w:rPr>
          <w:rFonts w:ascii="Verdana" w:hAnsi="Verdana"/>
          <w:b/>
          <w:bCs/>
          <w:color w:val="000000" w:themeColor="text1"/>
          <w:sz w:val="26"/>
          <w:szCs w:val="26"/>
          <w:u w:val="single"/>
        </w:rPr>
        <w:t>2-</w:t>
      </w:r>
      <w:r w:rsidRPr="000518CA">
        <w:rPr>
          <w:rFonts w:ascii="Verdana" w:hAnsi="Verdana"/>
          <w:b/>
          <w:bCs/>
          <w:color w:val="000000" w:themeColor="text1"/>
          <w:sz w:val="26"/>
          <w:szCs w:val="26"/>
          <w:u w:val="single"/>
        </w:rPr>
        <w:t>Matériel nécessaire</w:t>
      </w:r>
      <w:r>
        <w:rPr>
          <w:rFonts w:ascii="Verdana" w:hAnsi="Verdana"/>
          <w:b/>
          <w:bCs/>
          <w:color w:val="000000" w:themeColor="text1"/>
          <w:sz w:val="26"/>
          <w:szCs w:val="26"/>
          <w:u w:val="single"/>
        </w:rPr>
        <w:t>:</w:t>
      </w:r>
      <w:r w:rsidRPr="000518CA">
        <w:rPr>
          <w:rFonts w:ascii="Verdana" w:hAnsi="Verdana"/>
          <w:b/>
          <w:bCs/>
          <w:color w:val="000000" w:themeColor="text1"/>
          <w:sz w:val="26"/>
          <w:szCs w:val="26"/>
          <w:u w:val="single"/>
        </w:rPr>
        <w:t xml:space="preserve"> </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t xml:space="preserve">  Des </w:t>
      </w:r>
      <w:r w:rsidRPr="00BA0BE8">
        <w:rPr>
          <w:rStyle w:val="adef"/>
          <w:color w:val="000000" w:themeColor="text1"/>
        </w:rPr>
        <w:t>tamis</w:t>
      </w:r>
      <w:r w:rsidRPr="00BA0BE8">
        <w:rPr>
          <w:color w:val="000000" w:themeColor="text1"/>
        </w:rPr>
        <w:t xml:space="preserve"> dont les ouvertures carrées, de dimension normalisée, sont </w:t>
      </w:r>
      <w:proofErr w:type="gramStart"/>
      <w:r w:rsidRPr="00BA0BE8">
        <w:rPr>
          <w:color w:val="000000" w:themeColor="text1"/>
        </w:rPr>
        <w:t>réalisées</w:t>
      </w:r>
      <w:proofErr w:type="gramEnd"/>
      <w:r w:rsidRPr="00BA0BE8">
        <w:rPr>
          <w:color w:val="000000" w:themeColor="text1"/>
        </w:rPr>
        <w:t xml:space="preserve"> soit à partir d'un maillage métallique, soit par perçage d'une tôle. Les passoires, qui comportent des trous ronds percés dans une tôle, ne sont plus utilisées actuellement. Pour un travail d'essai aux résultats reproductibles, il est conseillé d'utiliser une machine à tamiser électrique qui comprime un mouvement vibratoire horizontal, ainsi que des secousses verticales, à la colonne de </w:t>
      </w:r>
      <w:r w:rsidRPr="00BA0BE8">
        <w:rPr>
          <w:rStyle w:val="adef"/>
          <w:color w:val="000000" w:themeColor="text1"/>
        </w:rPr>
        <w:t>tamis</w:t>
      </w:r>
      <w:r w:rsidRPr="00BA0BE8">
        <w:rPr>
          <w:color w:val="000000" w:themeColor="text1"/>
        </w:rPr>
        <w:t>.</w:t>
      </w:r>
    </w:p>
    <w:p w:rsidR="000518CA" w:rsidRDefault="000518CA" w:rsidP="000518CA">
      <w:pPr>
        <w:shd w:val="clear" w:color="auto" w:fill="FFFFFF"/>
        <w:spacing w:before="45" w:after="45" w:line="360" w:lineRule="auto"/>
        <w:ind w:left="45" w:right="45"/>
        <w:jc w:val="center"/>
        <w:rPr>
          <w:rStyle w:val="Emphasis"/>
          <w:color w:val="424242"/>
          <w:sz w:val="22"/>
          <w:szCs w:val="22"/>
        </w:rPr>
      </w:pPr>
      <w:r>
        <w:rPr>
          <w:noProof/>
          <w:color w:val="424242"/>
          <w:sz w:val="22"/>
          <w:szCs w:val="22"/>
          <w:lang w:val="en-US" w:eastAsia="en-US"/>
        </w:rPr>
        <w:drawing>
          <wp:inline distT="0" distB="0" distL="0" distR="0">
            <wp:extent cx="2219325" cy="2581275"/>
            <wp:effectExtent l="19050" t="0" r="9525" b="0"/>
            <wp:docPr id="1" name="Image 1" descr="ex_3_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3_1_01"/>
                    <pic:cNvPicPr>
                      <a:picLocks noChangeAspect="1" noChangeArrowheads="1"/>
                    </pic:cNvPicPr>
                  </pic:nvPicPr>
                  <pic:blipFill>
                    <a:blip r:embed="rId5"/>
                    <a:srcRect/>
                    <a:stretch>
                      <a:fillRect/>
                    </a:stretch>
                  </pic:blipFill>
                  <pic:spPr bwMode="auto">
                    <a:xfrm>
                      <a:off x="0" y="0"/>
                      <a:ext cx="2219325" cy="2581275"/>
                    </a:xfrm>
                    <a:prstGeom prst="rect">
                      <a:avLst/>
                    </a:prstGeom>
                    <a:noFill/>
                    <a:ln w="9525">
                      <a:noFill/>
                      <a:miter lim="800000"/>
                      <a:headEnd/>
                      <a:tailEnd/>
                    </a:ln>
                  </pic:spPr>
                </pic:pic>
              </a:graphicData>
            </a:graphic>
          </wp:inline>
        </w:drawing>
      </w:r>
    </w:p>
    <w:p w:rsidR="000518CA" w:rsidRPr="000518CA" w:rsidRDefault="000518CA" w:rsidP="000518CA">
      <w:pPr>
        <w:shd w:val="clear" w:color="auto" w:fill="FFFFFF"/>
        <w:spacing w:before="45" w:after="45" w:line="360" w:lineRule="auto"/>
        <w:ind w:left="45" w:right="45"/>
        <w:jc w:val="center"/>
        <w:rPr>
          <w:b/>
          <w:bCs/>
          <w:color w:val="424242"/>
          <w:sz w:val="22"/>
          <w:szCs w:val="22"/>
          <w:u w:val="single"/>
        </w:rPr>
      </w:pPr>
      <w:r w:rsidRPr="000518CA">
        <w:rPr>
          <w:rStyle w:val="Emphasis"/>
          <w:b/>
          <w:bCs/>
          <w:color w:val="424242"/>
          <w:sz w:val="22"/>
          <w:szCs w:val="22"/>
          <w:u w:val="single"/>
        </w:rPr>
        <w:t xml:space="preserve"> Tamiseuse électrique</w:t>
      </w:r>
    </w:p>
    <w:p w:rsidR="000518CA" w:rsidRPr="000518CA" w:rsidRDefault="000518CA" w:rsidP="000518CA">
      <w:pPr>
        <w:shd w:val="clear" w:color="auto" w:fill="FFFFFF"/>
        <w:spacing w:before="240" w:after="75"/>
        <w:outlineLvl w:val="2"/>
        <w:rPr>
          <w:rFonts w:ascii="Verdana" w:hAnsi="Verdana"/>
          <w:b/>
          <w:bCs/>
          <w:color w:val="000000" w:themeColor="text1"/>
          <w:sz w:val="26"/>
          <w:szCs w:val="26"/>
          <w:u w:val="single"/>
        </w:rPr>
      </w:pPr>
      <w:r>
        <w:rPr>
          <w:rFonts w:ascii="Verdana" w:hAnsi="Verdana"/>
          <w:b/>
          <w:bCs/>
          <w:color w:val="000000" w:themeColor="text1"/>
          <w:sz w:val="26"/>
          <w:szCs w:val="26"/>
          <w:u w:val="single"/>
        </w:rPr>
        <w:t>3-</w:t>
      </w:r>
      <w:r w:rsidRPr="000518CA">
        <w:rPr>
          <w:rFonts w:ascii="Verdana" w:hAnsi="Verdana"/>
          <w:b/>
          <w:bCs/>
          <w:color w:val="000000" w:themeColor="text1"/>
          <w:sz w:val="26"/>
          <w:szCs w:val="26"/>
          <w:u w:val="single"/>
        </w:rPr>
        <w:t>Préparation de l'échantillon</w:t>
      </w:r>
      <w:r>
        <w:rPr>
          <w:rFonts w:ascii="Verdana" w:hAnsi="Verdana"/>
          <w:b/>
          <w:bCs/>
          <w:color w:val="000000" w:themeColor="text1"/>
          <w:sz w:val="26"/>
          <w:szCs w:val="26"/>
          <w:u w:val="single"/>
        </w:rPr>
        <w:t>:</w:t>
      </w:r>
      <w:r w:rsidRPr="000518CA">
        <w:rPr>
          <w:rFonts w:ascii="Verdana" w:hAnsi="Verdana"/>
          <w:b/>
          <w:bCs/>
          <w:color w:val="000000" w:themeColor="text1"/>
          <w:sz w:val="26"/>
          <w:szCs w:val="26"/>
          <w:u w:val="single"/>
        </w:rPr>
        <w:t xml:space="preserve"> </w:t>
      </w:r>
    </w:p>
    <w:p w:rsidR="000518CA" w:rsidRPr="00BA0BE8" w:rsidRDefault="000518CA" w:rsidP="000518CA">
      <w:pPr>
        <w:shd w:val="clear" w:color="auto" w:fill="FFFFFF"/>
        <w:spacing w:before="45" w:after="45" w:line="360" w:lineRule="auto"/>
        <w:ind w:left="45" w:right="45"/>
        <w:rPr>
          <w:color w:val="000000" w:themeColor="text1"/>
        </w:rPr>
      </w:pPr>
      <w:r>
        <w:rPr>
          <w:color w:val="424242"/>
          <w:sz w:val="22"/>
          <w:szCs w:val="22"/>
        </w:rPr>
        <w:t xml:space="preserve">  </w:t>
      </w:r>
      <w:r w:rsidRPr="00BA0BE8">
        <w:rPr>
          <w:color w:val="000000" w:themeColor="text1"/>
        </w:rPr>
        <w:t>La quantité à utiliser doit répondre à différents impératifs qui sont contradictoires:</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t>- Il faut une quantité assez grande pour que l'échantillon soit représentatif.</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lastRenderedPageBreak/>
        <w:t>- Il faut une quantité assez faible pour que la durée de l'essai soit acceptable et que les tamis ne soient pas saturés et donc inopérants.</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t xml:space="preserve">  Dans la pratique, la masse à utiliser sera telle que : M = 0,2 D avec M, masse de l'échantillon en Kg et D diamètre du plus gros granulat exprimé en mm</w:t>
      </w:r>
    </w:p>
    <w:p w:rsidR="000518CA" w:rsidRPr="00BA0BE8" w:rsidRDefault="000518CA" w:rsidP="00BA0BE8">
      <w:pPr>
        <w:shd w:val="clear" w:color="auto" w:fill="FFFFFF"/>
        <w:spacing w:before="45" w:after="45" w:line="360" w:lineRule="auto"/>
        <w:ind w:left="45" w:right="45"/>
        <w:rPr>
          <w:color w:val="000000" w:themeColor="text1"/>
        </w:rPr>
      </w:pPr>
      <w:r w:rsidRPr="00BA0BE8">
        <w:rPr>
          <w:color w:val="000000" w:themeColor="text1"/>
        </w:rPr>
        <w:t xml:space="preserve">  Le matériau sera séché à l'étuve à une température maximale de 105 °C. On emboite les tamis les uns sur les autres, dans un ordre tel que la progression des ouvertures soit croissante du bas de la colonne vers le haut. En partie inférieure, on dispose un fond étanche qui permettra de récupérer les fillers pour une analyse complémentaire. Un couvercle sera disposé en haut de la colonne afin d'interdire toute perte de matériau pendant le tamisage.</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t xml:space="preserve">On appellera </w:t>
      </w:r>
      <w:proofErr w:type="spellStart"/>
      <w:r w:rsidRPr="00BA0BE8">
        <w:rPr>
          <w:color w:val="000000" w:themeColor="text1"/>
        </w:rPr>
        <w:t>tamisat</w:t>
      </w:r>
      <w:proofErr w:type="spellEnd"/>
      <w:r w:rsidRPr="00BA0BE8">
        <w:rPr>
          <w:color w:val="000000" w:themeColor="text1"/>
        </w:rPr>
        <w:t xml:space="preserve"> le poids du matériau passant à travers un tamis donné et refus le poids de matériau retenu par ce même tamis.</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t xml:space="preserve">  Le matériau étudié est versé en haut de la colonne de tamis et celle-ci entre en vibration à l'aide de la tamiseuse électrique. Le temps de tamisage varie avec le type de machine utilisé, mais dépend également de la charge de matériau présente sur le tamis et son ouverture. Un étalonnage de la machine est donc nécessaire. On considère que le tamisage est terminé lorsque les refus ne varient pas de plus de 1 % entre deux séquences de vibrations de la tamiseuse.</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t xml:space="preserve">  Le refus du tamis ayant la plus grande maille est </w:t>
      </w:r>
      <w:proofErr w:type="gramStart"/>
      <w:r w:rsidRPr="00BA0BE8">
        <w:rPr>
          <w:color w:val="000000" w:themeColor="text1"/>
        </w:rPr>
        <w:t>pesée</w:t>
      </w:r>
      <w:proofErr w:type="gramEnd"/>
      <w:r w:rsidRPr="00BA0BE8">
        <w:rPr>
          <w:color w:val="000000" w:themeColor="text1"/>
        </w:rPr>
        <w:t>. Soit R1 la masse de ce refus.</w:t>
      </w:r>
    </w:p>
    <w:p w:rsidR="000518CA" w:rsidRPr="004E3F96" w:rsidRDefault="000518CA" w:rsidP="000518CA">
      <w:pPr>
        <w:shd w:val="clear" w:color="auto" w:fill="FFFFFF"/>
        <w:spacing w:before="45" w:after="45" w:line="360" w:lineRule="auto"/>
        <w:ind w:left="45" w:right="45"/>
        <w:jc w:val="center"/>
        <w:rPr>
          <w:noProof/>
          <w:color w:val="424242"/>
          <w:sz w:val="22"/>
          <w:szCs w:val="22"/>
          <w:lang w:eastAsia="en-US"/>
        </w:rPr>
      </w:pPr>
    </w:p>
    <w:p w:rsidR="000518CA" w:rsidRPr="004E3F96" w:rsidRDefault="000518CA" w:rsidP="000518CA">
      <w:pPr>
        <w:shd w:val="clear" w:color="auto" w:fill="FFFFFF"/>
        <w:spacing w:before="45" w:after="45" w:line="360" w:lineRule="auto"/>
        <w:ind w:left="45" w:right="45"/>
        <w:jc w:val="center"/>
        <w:rPr>
          <w:noProof/>
          <w:color w:val="424242"/>
          <w:sz w:val="22"/>
          <w:szCs w:val="22"/>
          <w:lang w:eastAsia="en-US"/>
        </w:rPr>
      </w:pPr>
    </w:p>
    <w:p w:rsidR="000518CA" w:rsidRDefault="000518CA" w:rsidP="000518CA">
      <w:pPr>
        <w:shd w:val="clear" w:color="auto" w:fill="FFFFFF"/>
        <w:spacing w:before="45" w:after="45" w:line="360" w:lineRule="auto"/>
        <w:ind w:left="45" w:right="45"/>
        <w:jc w:val="center"/>
        <w:rPr>
          <w:rStyle w:val="Emphasis"/>
          <w:color w:val="424242"/>
          <w:sz w:val="22"/>
          <w:szCs w:val="22"/>
        </w:rPr>
      </w:pPr>
      <w:r>
        <w:rPr>
          <w:noProof/>
          <w:color w:val="424242"/>
          <w:sz w:val="22"/>
          <w:szCs w:val="22"/>
          <w:lang w:val="en-US" w:eastAsia="en-US"/>
        </w:rPr>
        <w:drawing>
          <wp:inline distT="0" distB="0" distL="0" distR="0">
            <wp:extent cx="2038350" cy="2533650"/>
            <wp:effectExtent l="19050" t="0" r="0" b="0"/>
            <wp:docPr id="15" name="Image 15" descr="ex_3_1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_3_1_04"/>
                    <pic:cNvPicPr>
                      <a:picLocks noChangeAspect="1" noChangeArrowheads="1"/>
                    </pic:cNvPicPr>
                  </pic:nvPicPr>
                  <pic:blipFill>
                    <a:blip r:embed="rId6"/>
                    <a:srcRect/>
                    <a:stretch>
                      <a:fillRect/>
                    </a:stretch>
                  </pic:blipFill>
                  <pic:spPr bwMode="auto">
                    <a:xfrm>
                      <a:off x="0" y="0"/>
                      <a:ext cx="2038350" cy="2533650"/>
                    </a:xfrm>
                    <a:prstGeom prst="rect">
                      <a:avLst/>
                    </a:prstGeom>
                    <a:noFill/>
                    <a:ln w="9525">
                      <a:noFill/>
                      <a:miter lim="800000"/>
                      <a:headEnd/>
                      <a:tailEnd/>
                    </a:ln>
                  </pic:spPr>
                </pic:pic>
              </a:graphicData>
            </a:graphic>
          </wp:inline>
        </w:drawing>
      </w:r>
    </w:p>
    <w:p w:rsidR="000518CA" w:rsidRPr="000518CA" w:rsidRDefault="000518CA" w:rsidP="000518CA">
      <w:pPr>
        <w:shd w:val="clear" w:color="auto" w:fill="FFFFFF"/>
        <w:spacing w:before="45" w:after="45" w:line="360" w:lineRule="auto"/>
        <w:ind w:left="45" w:right="45"/>
        <w:jc w:val="center"/>
        <w:rPr>
          <w:color w:val="424242"/>
          <w:sz w:val="22"/>
          <w:szCs w:val="22"/>
          <w:u w:val="single"/>
        </w:rPr>
      </w:pPr>
      <w:r w:rsidRPr="000518CA">
        <w:rPr>
          <w:rStyle w:val="Emphasis"/>
          <w:color w:val="424242"/>
          <w:sz w:val="22"/>
          <w:szCs w:val="22"/>
          <w:u w:val="single"/>
        </w:rPr>
        <w:t xml:space="preserve">Colonne de </w:t>
      </w:r>
      <w:r w:rsidRPr="000518CA">
        <w:rPr>
          <w:rStyle w:val="adef"/>
          <w:i/>
          <w:iCs/>
          <w:sz w:val="22"/>
          <w:szCs w:val="22"/>
          <w:u w:val="single"/>
        </w:rPr>
        <w:t>tamis</w:t>
      </w:r>
    </w:p>
    <w:p w:rsidR="000518CA" w:rsidRPr="00BA0BE8" w:rsidRDefault="000518CA" w:rsidP="00BA0BE8">
      <w:pPr>
        <w:shd w:val="clear" w:color="auto" w:fill="FFFFFF"/>
        <w:spacing w:before="45" w:after="45" w:line="360" w:lineRule="auto"/>
        <w:ind w:left="45" w:right="45"/>
        <w:rPr>
          <w:color w:val="424242"/>
          <w:sz w:val="22"/>
          <w:szCs w:val="22"/>
        </w:rPr>
      </w:pPr>
      <w:r>
        <w:rPr>
          <w:color w:val="424242"/>
          <w:sz w:val="22"/>
          <w:szCs w:val="22"/>
        </w:rPr>
        <w:t xml:space="preserve">       </w:t>
      </w:r>
      <w:r w:rsidRPr="00BA0BE8">
        <w:rPr>
          <w:color w:val="000000" w:themeColor="text1"/>
        </w:rPr>
        <w:t xml:space="preserve">Le refus du tamis immédiatement inférieur est pesé avec le refus précédent. Soit R2 la masse du deuxième refus.            Cette opération est poursuivie pour tous les tamis pris dans l'ordre des ouvertures décroissantes. Ceci permet de connaître la masse des refus cumulés Rn aux différents niveaux de la colonne de tamis. Le </w:t>
      </w:r>
      <w:proofErr w:type="spellStart"/>
      <w:r w:rsidRPr="00BA0BE8">
        <w:rPr>
          <w:color w:val="000000" w:themeColor="text1"/>
        </w:rPr>
        <w:t>tamisat</w:t>
      </w:r>
      <w:proofErr w:type="spellEnd"/>
      <w:r w:rsidRPr="00BA0BE8">
        <w:rPr>
          <w:color w:val="000000" w:themeColor="text1"/>
        </w:rPr>
        <w:t xml:space="preserve"> présent sur le fond de la colonne </w:t>
      </w:r>
      <w:proofErr w:type="spellStart"/>
      <w:r w:rsidRPr="00BA0BE8">
        <w:rPr>
          <w:color w:val="000000" w:themeColor="text1"/>
        </w:rPr>
        <w:t>dutamis</w:t>
      </w:r>
      <w:proofErr w:type="spellEnd"/>
      <w:r w:rsidRPr="00BA0BE8">
        <w:rPr>
          <w:color w:val="000000" w:themeColor="text1"/>
        </w:rPr>
        <w:t xml:space="preserve"> est également pesé.</w:t>
      </w:r>
    </w:p>
    <w:p w:rsidR="000518CA" w:rsidRPr="00BA0BE8" w:rsidRDefault="000518CA" w:rsidP="000518CA">
      <w:pPr>
        <w:shd w:val="clear" w:color="auto" w:fill="FFFFFF"/>
        <w:spacing w:before="45" w:after="45" w:line="360" w:lineRule="auto"/>
        <w:ind w:left="45" w:right="45"/>
        <w:rPr>
          <w:color w:val="000000" w:themeColor="text1"/>
        </w:rPr>
      </w:pPr>
      <w:r w:rsidRPr="00BA0BE8">
        <w:rPr>
          <w:color w:val="000000" w:themeColor="text1"/>
        </w:rPr>
        <w:lastRenderedPageBreak/>
        <w:t xml:space="preserve">  La somme des refus cumulés mesurés sur les différents tamis et du </w:t>
      </w:r>
      <w:proofErr w:type="spellStart"/>
      <w:r w:rsidRPr="00BA0BE8">
        <w:rPr>
          <w:color w:val="000000" w:themeColor="text1"/>
        </w:rPr>
        <w:t>tamisat</w:t>
      </w:r>
      <w:proofErr w:type="spellEnd"/>
      <w:r w:rsidRPr="00BA0BE8">
        <w:rPr>
          <w:color w:val="000000" w:themeColor="text1"/>
        </w:rPr>
        <w:t xml:space="preserve"> sur le fond (fillers) doit coïncider avec le poids de l'échantillon introduit en tête de colonne. Les résultats peuvent être présentés selon l'exemple suivant </w:t>
      </w:r>
    </w:p>
    <w:p w:rsidR="000518CA" w:rsidRDefault="000518CA" w:rsidP="000518CA">
      <w:pPr>
        <w:shd w:val="clear" w:color="auto" w:fill="FFFFFF"/>
        <w:spacing w:before="45" w:after="45" w:line="360" w:lineRule="auto"/>
        <w:ind w:left="45" w:right="45"/>
        <w:rPr>
          <w:color w:val="424242"/>
          <w:sz w:val="22"/>
          <w:szCs w:val="22"/>
        </w:rPr>
      </w:pPr>
    </w:p>
    <w:p w:rsidR="000518CA" w:rsidRDefault="000518CA" w:rsidP="000518CA">
      <w:pPr>
        <w:shd w:val="clear" w:color="auto" w:fill="FFFFFF"/>
        <w:spacing w:before="45" w:after="45" w:line="360" w:lineRule="auto"/>
        <w:ind w:left="45" w:right="45"/>
        <w:rPr>
          <w:color w:val="424242"/>
          <w:sz w:val="22"/>
          <w:szCs w:val="22"/>
        </w:rPr>
      </w:pPr>
    </w:p>
    <w:p w:rsidR="000518CA" w:rsidRDefault="000518CA" w:rsidP="00BA0BE8">
      <w:pPr>
        <w:shd w:val="clear" w:color="auto" w:fill="FFFFFF"/>
        <w:spacing w:before="45" w:after="45" w:line="360" w:lineRule="auto"/>
        <w:ind w:right="45"/>
        <w:rPr>
          <w:color w:val="424242"/>
          <w:sz w:val="22"/>
          <w:szCs w:val="22"/>
        </w:rPr>
      </w:pPr>
    </w:p>
    <w:p w:rsidR="000518CA" w:rsidRDefault="000518CA" w:rsidP="000518CA">
      <w:pPr>
        <w:shd w:val="clear" w:color="auto" w:fill="FFFFFF"/>
        <w:spacing w:before="45" w:after="45" w:line="360" w:lineRule="auto"/>
        <w:ind w:left="45" w:right="45"/>
        <w:rPr>
          <w:rStyle w:val="Emphasis"/>
          <w:color w:val="424242"/>
          <w:sz w:val="22"/>
          <w:szCs w:val="22"/>
        </w:rPr>
      </w:pPr>
      <w:r>
        <w:rPr>
          <w:color w:val="424242"/>
          <w:sz w:val="22"/>
          <w:szCs w:val="22"/>
        </w:rPr>
        <w:t xml:space="preserve">                                                                                                                                                                          </w:t>
      </w:r>
      <w:r w:rsidRPr="000518CA">
        <w:rPr>
          <w:rStyle w:val="Emphasis"/>
          <w:b/>
          <w:bCs/>
          <w:color w:val="000000" w:themeColor="text1"/>
          <w:sz w:val="22"/>
          <w:szCs w:val="22"/>
          <w:u w:val="single"/>
        </w:rPr>
        <w:t xml:space="preserve">Dimensions  nominales  des  </w:t>
      </w:r>
      <w:r w:rsidRPr="000518CA">
        <w:rPr>
          <w:rStyle w:val="adef"/>
          <w:b/>
          <w:bCs/>
          <w:i/>
          <w:iCs/>
          <w:color w:val="000000" w:themeColor="text1"/>
          <w:sz w:val="22"/>
          <w:szCs w:val="22"/>
          <w:u w:val="single"/>
        </w:rPr>
        <w:t>tamis</w:t>
      </w:r>
      <w:r w:rsidRPr="000518CA">
        <w:rPr>
          <w:rStyle w:val="Emphasis"/>
          <w:b/>
          <w:bCs/>
          <w:color w:val="000000" w:themeColor="text1"/>
          <w:sz w:val="22"/>
          <w:szCs w:val="22"/>
          <w:u w:val="single"/>
        </w:rPr>
        <w:t>.</w:t>
      </w:r>
    </w:p>
    <w:tbl>
      <w:tblPr>
        <w:tblStyle w:val="TableGrid"/>
        <w:tblpPr w:leftFromText="180" w:rightFromText="180" w:vertAnchor="text" w:horzAnchor="margin" w:tblpXSpec="center" w:tblpY="183"/>
        <w:tblW w:w="0" w:type="auto"/>
        <w:tblLook w:val="04A0" w:firstRow="1" w:lastRow="0" w:firstColumn="1" w:lastColumn="0" w:noHBand="0" w:noVBand="1"/>
      </w:tblPr>
      <w:tblGrid>
        <w:gridCol w:w="1526"/>
        <w:gridCol w:w="2551"/>
        <w:gridCol w:w="2127"/>
        <w:gridCol w:w="2693"/>
      </w:tblGrid>
      <w:tr w:rsidR="000518CA" w:rsidTr="000518CA">
        <w:tc>
          <w:tcPr>
            <w:tcW w:w="1526" w:type="dxa"/>
          </w:tcPr>
          <w:p w:rsidR="000518CA" w:rsidRDefault="000518CA" w:rsidP="000518CA">
            <w:pPr>
              <w:spacing w:before="45" w:after="45" w:line="360" w:lineRule="auto"/>
              <w:ind w:right="45"/>
              <w:rPr>
                <w:color w:val="424242"/>
              </w:rPr>
            </w:pPr>
            <w:r>
              <w:rPr>
                <w:color w:val="424242"/>
              </w:rPr>
              <w:t>Tamis (mm)</w:t>
            </w:r>
          </w:p>
        </w:tc>
        <w:tc>
          <w:tcPr>
            <w:tcW w:w="2551" w:type="dxa"/>
          </w:tcPr>
          <w:p w:rsidR="000518CA" w:rsidRDefault="000518CA" w:rsidP="000518CA">
            <w:pPr>
              <w:spacing w:before="45" w:after="45" w:line="360" w:lineRule="auto"/>
              <w:ind w:right="45"/>
              <w:rPr>
                <w:color w:val="424242"/>
              </w:rPr>
            </w:pPr>
            <w:r>
              <w:rPr>
                <w:color w:val="424242"/>
              </w:rPr>
              <w:t>Refus cumulés Rn (gr)</w:t>
            </w:r>
          </w:p>
        </w:tc>
        <w:tc>
          <w:tcPr>
            <w:tcW w:w="2127" w:type="dxa"/>
          </w:tcPr>
          <w:p w:rsidR="000518CA" w:rsidRDefault="000518CA" w:rsidP="000518CA">
            <w:pPr>
              <w:spacing w:before="45" w:after="45" w:line="360" w:lineRule="auto"/>
              <w:ind w:right="45"/>
              <w:rPr>
                <w:color w:val="424242"/>
              </w:rPr>
            </w:pPr>
            <w:r>
              <w:rPr>
                <w:color w:val="424242"/>
              </w:rPr>
              <w:t>Refus cumulés (%)</w:t>
            </w:r>
          </w:p>
        </w:tc>
        <w:tc>
          <w:tcPr>
            <w:tcW w:w="2693" w:type="dxa"/>
          </w:tcPr>
          <w:p w:rsidR="000518CA" w:rsidRDefault="000518CA" w:rsidP="000518CA">
            <w:pPr>
              <w:spacing w:before="45" w:after="45" w:line="360" w:lineRule="auto"/>
              <w:ind w:right="45"/>
              <w:rPr>
                <w:color w:val="424242"/>
              </w:rPr>
            </w:pPr>
            <w:proofErr w:type="spellStart"/>
            <w:r>
              <w:rPr>
                <w:color w:val="424242"/>
              </w:rPr>
              <w:t>Tamisats</w:t>
            </w:r>
            <w:proofErr w:type="spellEnd"/>
            <w:r>
              <w:rPr>
                <w:color w:val="424242"/>
              </w:rPr>
              <w:t xml:space="preserve"> cumulés(%)</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5</w:t>
            </w:r>
          </w:p>
        </w:tc>
        <w:tc>
          <w:tcPr>
            <w:tcW w:w="2551" w:type="dxa"/>
          </w:tcPr>
          <w:p w:rsidR="000518CA" w:rsidRDefault="000518CA" w:rsidP="000518CA">
            <w:pPr>
              <w:spacing w:before="45" w:after="45" w:line="360" w:lineRule="auto"/>
              <w:ind w:right="45"/>
              <w:rPr>
                <w:color w:val="424242"/>
              </w:rPr>
            </w:pPr>
            <w:r>
              <w:rPr>
                <w:color w:val="424242"/>
              </w:rPr>
              <w:t>20</w:t>
            </w:r>
          </w:p>
        </w:tc>
        <w:tc>
          <w:tcPr>
            <w:tcW w:w="2127" w:type="dxa"/>
          </w:tcPr>
          <w:p w:rsidR="000518CA" w:rsidRDefault="000518CA" w:rsidP="000518CA">
            <w:pPr>
              <w:spacing w:before="45" w:after="45" w:line="360" w:lineRule="auto"/>
              <w:ind w:right="45"/>
              <w:rPr>
                <w:color w:val="424242"/>
              </w:rPr>
            </w:pPr>
            <w:r>
              <w:rPr>
                <w:color w:val="424242"/>
              </w:rPr>
              <w:t>2</w:t>
            </w:r>
          </w:p>
        </w:tc>
        <w:tc>
          <w:tcPr>
            <w:tcW w:w="2693" w:type="dxa"/>
          </w:tcPr>
          <w:p w:rsidR="000518CA" w:rsidRDefault="000518CA" w:rsidP="000518CA">
            <w:pPr>
              <w:spacing w:before="45" w:after="45" w:line="360" w:lineRule="auto"/>
              <w:ind w:right="45"/>
              <w:rPr>
                <w:color w:val="424242"/>
              </w:rPr>
            </w:pPr>
            <w:r>
              <w:rPr>
                <w:color w:val="424242"/>
              </w:rPr>
              <w:t>98</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2.5</w:t>
            </w:r>
          </w:p>
        </w:tc>
        <w:tc>
          <w:tcPr>
            <w:tcW w:w="2551" w:type="dxa"/>
          </w:tcPr>
          <w:p w:rsidR="000518CA" w:rsidRDefault="000518CA" w:rsidP="000518CA">
            <w:pPr>
              <w:spacing w:before="45" w:after="45" w:line="360" w:lineRule="auto"/>
              <w:ind w:right="45"/>
              <w:rPr>
                <w:color w:val="424242"/>
              </w:rPr>
            </w:pPr>
            <w:r>
              <w:rPr>
                <w:color w:val="424242"/>
              </w:rPr>
              <w:t>247</w:t>
            </w:r>
          </w:p>
        </w:tc>
        <w:tc>
          <w:tcPr>
            <w:tcW w:w="2127" w:type="dxa"/>
          </w:tcPr>
          <w:p w:rsidR="000518CA" w:rsidRDefault="000518CA" w:rsidP="000518CA">
            <w:pPr>
              <w:spacing w:before="45" w:after="45" w:line="360" w:lineRule="auto"/>
              <w:ind w:right="45"/>
              <w:rPr>
                <w:color w:val="424242"/>
              </w:rPr>
            </w:pPr>
            <w:r>
              <w:rPr>
                <w:color w:val="424242"/>
              </w:rPr>
              <w:t>24.7</w:t>
            </w:r>
          </w:p>
        </w:tc>
        <w:tc>
          <w:tcPr>
            <w:tcW w:w="2693" w:type="dxa"/>
          </w:tcPr>
          <w:p w:rsidR="000518CA" w:rsidRDefault="000518CA" w:rsidP="000518CA">
            <w:pPr>
              <w:spacing w:before="45" w:after="45" w:line="360" w:lineRule="auto"/>
              <w:ind w:right="45"/>
              <w:rPr>
                <w:color w:val="424242"/>
              </w:rPr>
            </w:pPr>
            <w:r>
              <w:rPr>
                <w:color w:val="424242"/>
              </w:rPr>
              <w:t>75.3</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1.25</w:t>
            </w:r>
          </w:p>
        </w:tc>
        <w:tc>
          <w:tcPr>
            <w:tcW w:w="2551" w:type="dxa"/>
          </w:tcPr>
          <w:p w:rsidR="000518CA" w:rsidRDefault="000518CA" w:rsidP="000518CA">
            <w:pPr>
              <w:spacing w:before="45" w:after="45" w:line="360" w:lineRule="auto"/>
              <w:ind w:right="45"/>
              <w:rPr>
                <w:color w:val="424242"/>
              </w:rPr>
            </w:pPr>
            <w:r>
              <w:rPr>
                <w:color w:val="424242"/>
              </w:rPr>
              <w:t>490</w:t>
            </w:r>
          </w:p>
        </w:tc>
        <w:tc>
          <w:tcPr>
            <w:tcW w:w="2127" w:type="dxa"/>
          </w:tcPr>
          <w:p w:rsidR="000518CA" w:rsidRDefault="000518CA" w:rsidP="000518CA">
            <w:pPr>
              <w:spacing w:before="45" w:after="45" w:line="360" w:lineRule="auto"/>
              <w:ind w:right="45"/>
              <w:rPr>
                <w:color w:val="424242"/>
              </w:rPr>
            </w:pPr>
            <w:r>
              <w:rPr>
                <w:color w:val="424242"/>
              </w:rPr>
              <w:t>49</w:t>
            </w:r>
          </w:p>
        </w:tc>
        <w:tc>
          <w:tcPr>
            <w:tcW w:w="2693" w:type="dxa"/>
          </w:tcPr>
          <w:p w:rsidR="000518CA" w:rsidRDefault="000518CA" w:rsidP="000518CA">
            <w:pPr>
              <w:spacing w:before="45" w:after="45" w:line="360" w:lineRule="auto"/>
              <w:ind w:right="45"/>
              <w:rPr>
                <w:color w:val="424242"/>
              </w:rPr>
            </w:pPr>
            <w:r>
              <w:rPr>
                <w:color w:val="424242"/>
              </w:rPr>
              <w:t>51</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0.630</w:t>
            </w:r>
          </w:p>
        </w:tc>
        <w:tc>
          <w:tcPr>
            <w:tcW w:w="2551" w:type="dxa"/>
          </w:tcPr>
          <w:p w:rsidR="000518CA" w:rsidRDefault="000518CA" w:rsidP="000518CA">
            <w:pPr>
              <w:spacing w:before="45" w:after="45" w:line="360" w:lineRule="auto"/>
              <w:ind w:right="45"/>
              <w:rPr>
                <w:color w:val="424242"/>
              </w:rPr>
            </w:pPr>
            <w:r>
              <w:rPr>
                <w:color w:val="424242"/>
              </w:rPr>
              <w:t>657</w:t>
            </w:r>
          </w:p>
        </w:tc>
        <w:tc>
          <w:tcPr>
            <w:tcW w:w="2127" w:type="dxa"/>
          </w:tcPr>
          <w:p w:rsidR="000518CA" w:rsidRDefault="000518CA" w:rsidP="000518CA">
            <w:pPr>
              <w:spacing w:before="45" w:after="45" w:line="360" w:lineRule="auto"/>
              <w:ind w:right="45"/>
              <w:rPr>
                <w:color w:val="424242"/>
              </w:rPr>
            </w:pPr>
            <w:r>
              <w:rPr>
                <w:color w:val="424242"/>
              </w:rPr>
              <w:t>65.7</w:t>
            </w:r>
          </w:p>
        </w:tc>
        <w:tc>
          <w:tcPr>
            <w:tcW w:w="2693" w:type="dxa"/>
          </w:tcPr>
          <w:p w:rsidR="000518CA" w:rsidRDefault="000518CA" w:rsidP="000518CA">
            <w:pPr>
              <w:spacing w:before="45" w:after="45" w:line="360" w:lineRule="auto"/>
              <w:ind w:right="45"/>
              <w:rPr>
                <w:color w:val="424242"/>
              </w:rPr>
            </w:pPr>
            <w:r>
              <w:rPr>
                <w:color w:val="424242"/>
              </w:rPr>
              <w:t>44.3</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0.315</w:t>
            </w:r>
          </w:p>
        </w:tc>
        <w:tc>
          <w:tcPr>
            <w:tcW w:w="2551" w:type="dxa"/>
          </w:tcPr>
          <w:p w:rsidR="000518CA" w:rsidRDefault="000518CA" w:rsidP="000518CA">
            <w:pPr>
              <w:spacing w:before="45" w:after="45" w:line="360" w:lineRule="auto"/>
              <w:ind w:right="45"/>
              <w:rPr>
                <w:color w:val="424242"/>
              </w:rPr>
            </w:pPr>
            <w:r>
              <w:rPr>
                <w:color w:val="424242"/>
              </w:rPr>
              <w:t>762</w:t>
            </w:r>
          </w:p>
        </w:tc>
        <w:tc>
          <w:tcPr>
            <w:tcW w:w="2127" w:type="dxa"/>
          </w:tcPr>
          <w:p w:rsidR="000518CA" w:rsidRDefault="000518CA" w:rsidP="000518CA">
            <w:pPr>
              <w:spacing w:before="45" w:after="45" w:line="360" w:lineRule="auto"/>
              <w:ind w:right="45"/>
              <w:rPr>
                <w:color w:val="424242"/>
              </w:rPr>
            </w:pPr>
            <w:r>
              <w:rPr>
                <w:color w:val="424242"/>
              </w:rPr>
              <w:t>76.2</w:t>
            </w:r>
          </w:p>
        </w:tc>
        <w:tc>
          <w:tcPr>
            <w:tcW w:w="2693" w:type="dxa"/>
          </w:tcPr>
          <w:p w:rsidR="000518CA" w:rsidRDefault="000518CA" w:rsidP="000518CA">
            <w:pPr>
              <w:spacing w:before="45" w:after="45" w:line="360" w:lineRule="auto"/>
              <w:ind w:right="45"/>
              <w:rPr>
                <w:color w:val="424242"/>
              </w:rPr>
            </w:pPr>
            <w:r>
              <w:rPr>
                <w:color w:val="424242"/>
              </w:rPr>
              <w:t>23.8</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0.160</w:t>
            </w:r>
          </w:p>
        </w:tc>
        <w:tc>
          <w:tcPr>
            <w:tcW w:w="2551" w:type="dxa"/>
          </w:tcPr>
          <w:p w:rsidR="000518CA" w:rsidRDefault="000518CA" w:rsidP="000518CA">
            <w:pPr>
              <w:spacing w:before="45" w:after="45" w:line="360" w:lineRule="auto"/>
              <w:ind w:right="45"/>
              <w:rPr>
                <w:color w:val="424242"/>
              </w:rPr>
            </w:pPr>
            <w:r>
              <w:rPr>
                <w:color w:val="424242"/>
              </w:rPr>
              <w:t>881</w:t>
            </w:r>
          </w:p>
        </w:tc>
        <w:tc>
          <w:tcPr>
            <w:tcW w:w="2127" w:type="dxa"/>
          </w:tcPr>
          <w:p w:rsidR="000518CA" w:rsidRDefault="000518CA" w:rsidP="000518CA">
            <w:pPr>
              <w:spacing w:before="45" w:after="45" w:line="360" w:lineRule="auto"/>
              <w:ind w:right="45"/>
              <w:rPr>
                <w:color w:val="424242"/>
              </w:rPr>
            </w:pPr>
            <w:r>
              <w:rPr>
                <w:color w:val="424242"/>
              </w:rPr>
              <w:t>88.1</w:t>
            </w:r>
          </w:p>
        </w:tc>
        <w:tc>
          <w:tcPr>
            <w:tcW w:w="2693" w:type="dxa"/>
          </w:tcPr>
          <w:p w:rsidR="000518CA" w:rsidRDefault="000518CA" w:rsidP="000518CA">
            <w:pPr>
              <w:spacing w:before="45" w:after="45" w:line="360" w:lineRule="auto"/>
              <w:ind w:right="45"/>
              <w:rPr>
                <w:color w:val="424242"/>
              </w:rPr>
            </w:pPr>
            <w:r>
              <w:rPr>
                <w:color w:val="424242"/>
              </w:rPr>
              <w:t>11.9</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0.080</w:t>
            </w:r>
          </w:p>
        </w:tc>
        <w:tc>
          <w:tcPr>
            <w:tcW w:w="2551" w:type="dxa"/>
          </w:tcPr>
          <w:p w:rsidR="000518CA" w:rsidRDefault="000518CA" w:rsidP="000518CA">
            <w:pPr>
              <w:spacing w:before="45" w:after="45" w:line="360" w:lineRule="auto"/>
              <w:ind w:right="45"/>
              <w:rPr>
                <w:color w:val="424242"/>
              </w:rPr>
            </w:pPr>
            <w:r>
              <w:rPr>
                <w:color w:val="424242"/>
              </w:rPr>
              <w:t>943</w:t>
            </w:r>
          </w:p>
        </w:tc>
        <w:tc>
          <w:tcPr>
            <w:tcW w:w="2127" w:type="dxa"/>
          </w:tcPr>
          <w:p w:rsidR="000518CA" w:rsidRDefault="000518CA" w:rsidP="000518CA">
            <w:pPr>
              <w:spacing w:before="45" w:after="45" w:line="360" w:lineRule="auto"/>
              <w:ind w:right="45"/>
              <w:rPr>
                <w:color w:val="424242"/>
              </w:rPr>
            </w:pPr>
            <w:r>
              <w:rPr>
                <w:color w:val="424242"/>
              </w:rPr>
              <w:t>94.3</w:t>
            </w:r>
          </w:p>
        </w:tc>
        <w:tc>
          <w:tcPr>
            <w:tcW w:w="2693" w:type="dxa"/>
          </w:tcPr>
          <w:p w:rsidR="000518CA" w:rsidRDefault="000518CA" w:rsidP="000518CA">
            <w:pPr>
              <w:spacing w:before="45" w:after="45" w:line="360" w:lineRule="auto"/>
              <w:ind w:right="45"/>
              <w:rPr>
                <w:color w:val="424242"/>
              </w:rPr>
            </w:pPr>
            <w:r>
              <w:rPr>
                <w:color w:val="424242"/>
              </w:rPr>
              <w:t>5.7</w:t>
            </w:r>
          </w:p>
        </w:tc>
      </w:tr>
      <w:tr w:rsidR="000518CA" w:rsidTr="000518CA">
        <w:tc>
          <w:tcPr>
            <w:tcW w:w="1526" w:type="dxa"/>
          </w:tcPr>
          <w:p w:rsidR="000518CA" w:rsidRDefault="000518CA" w:rsidP="000518CA">
            <w:pPr>
              <w:spacing w:before="45" w:after="45" w:line="360" w:lineRule="auto"/>
              <w:ind w:right="45"/>
              <w:rPr>
                <w:color w:val="424242"/>
              </w:rPr>
            </w:pPr>
            <w:r>
              <w:rPr>
                <w:color w:val="424242"/>
              </w:rPr>
              <w:t>&lt;0.080</w:t>
            </w:r>
          </w:p>
        </w:tc>
        <w:tc>
          <w:tcPr>
            <w:tcW w:w="2551" w:type="dxa"/>
          </w:tcPr>
          <w:p w:rsidR="000518CA" w:rsidRDefault="000518CA" w:rsidP="000518CA">
            <w:pPr>
              <w:spacing w:before="45" w:after="45" w:line="360" w:lineRule="auto"/>
              <w:ind w:right="45"/>
              <w:rPr>
                <w:color w:val="424242"/>
              </w:rPr>
            </w:pPr>
            <w:r>
              <w:rPr>
                <w:color w:val="424242"/>
              </w:rPr>
              <w:t>952</w:t>
            </w:r>
          </w:p>
        </w:tc>
        <w:tc>
          <w:tcPr>
            <w:tcW w:w="2127" w:type="dxa"/>
          </w:tcPr>
          <w:p w:rsidR="000518CA" w:rsidRDefault="000518CA" w:rsidP="000518CA">
            <w:pPr>
              <w:spacing w:before="45" w:after="45" w:line="360" w:lineRule="auto"/>
              <w:ind w:right="45"/>
              <w:rPr>
                <w:color w:val="424242"/>
              </w:rPr>
            </w:pPr>
            <w:r>
              <w:rPr>
                <w:color w:val="424242"/>
              </w:rPr>
              <w:t>95.2</w:t>
            </w:r>
          </w:p>
        </w:tc>
        <w:tc>
          <w:tcPr>
            <w:tcW w:w="2693" w:type="dxa"/>
          </w:tcPr>
          <w:p w:rsidR="000518CA" w:rsidRDefault="000518CA" w:rsidP="000518CA">
            <w:pPr>
              <w:spacing w:before="45" w:after="45" w:line="360" w:lineRule="auto"/>
              <w:ind w:right="45"/>
              <w:rPr>
                <w:color w:val="424242"/>
              </w:rPr>
            </w:pPr>
            <w:r>
              <w:rPr>
                <w:color w:val="424242"/>
              </w:rPr>
              <w:t>4.8</w:t>
            </w:r>
          </w:p>
        </w:tc>
      </w:tr>
    </w:tbl>
    <w:p w:rsidR="000518CA" w:rsidRDefault="000518CA" w:rsidP="000518CA">
      <w:pPr>
        <w:shd w:val="clear" w:color="auto" w:fill="FFFFFF"/>
        <w:spacing w:before="45" w:after="45" w:line="360" w:lineRule="auto"/>
        <w:ind w:left="45" w:right="45"/>
        <w:rPr>
          <w:rStyle w:val="Emphasis"/>
          <w:color w:val="424242"/>
          <w:sz w:val="22"/>
          <w:szCs w:val="22"/>
        </w:rPr>
      </w:pPr>
    </w:p>
    <w:p w:rsidR="000518CA" w:rsidRDefault="000518CA" w:rsidP="000518CA">
      <w:pPr>
        <w:shd w:val="clear" w:color="auto" w:fill="FFFFFF"/>
        <w:spacing w:before="45" w:after="45" w:line="360" w:lineRule="auto"/>
        <w:ind w:left="45" w:right="45"/>
        <w:rPr>
          <w:rStyle w:val="Emphasis"/>
          <w:color w:val="424242"/>
          <w:sz w:val="22"/>
          <w:szCs w:val="22"/>
        </w:rPr>
      </w:pPr>
    </w:p>
    <w:p w:rsidR="000518CA" w:rsidRDefault="000518CA" w:rsidP="000518CA">
      <w:pPr>
        <w:shd w:val="clear" w:color="auto" w:fill="FFFFFF"/>
        <w:spacing w:before="45" w:after="45" w:line="360" w:lineRule="auto"/>
        <w:ind w:left="45" w:right="45"/>
        <w:rPr>
          <w:rStyle w:val="Emphasis"/>
          <w:color w:val="424242"/>
          <w:sz w:val="22"/>
          <w:szCs w:val="22"/>
        </w:rPr>
      </w:pPr>
    </w:p>
    <w:p w:rsidR="000518CA" w:rsidRDefault="000518CA" w:rsidP="000518CA">
      <w:pPr>
        <w:shd w:val="clear" w:color="auto" w:fill="FFFFFF"/>
        <w:spacing w:before="45" w:after="45" w:line="360" w:lineRule="auto"/>
        <w:ind w:left="45" w:right="45"/>
        <w:rPr>
          <w:color w:val="424242"/>
          <w:sz w:val="22"/>
          <w:szCs w:val="22"/>
        </w:rPr>
      </w:pPr>
    </w:p>
    <w:p w:rsidR="00D41D51" w:rsidRDefault="00D41D51" w:rsidP="000518CA">
      <w:pPr>
        <w:rPr>
          <w:lang w:bidi="ar-DZ"/>
        </w:rPr>
      </w:pPr>
    </w:p>
    <w:p w:rsidR="00D41D51" w:rsidRPr="00D41D51" w:rsidRDefault="00D41D51" w:rsidP="00D41D51">
      <w:pPr>
        <w:rPr>
          <w:lang w:bidi="ar-DZ"/>
        </w:rPr>
      </w:pPr>
    </w:p>
    <w:p w:rsidR="00D41D51" w:rsidRPr="00D41D51" w:rsidRDefault="00D41D51" w:rsidP="00D41D51">
      <w:pPr>
        <w:rPr>
          <w:lang w:bidi="ar-DZ"/>
        </w:rPr>
      </w:pPr>
    </w:p>
    <w:p w:rsidR="00D41D51" w:rsidRPr="00D41D51" w:rsidRDefault="00D41D51" w:rsidP="00D41D51">
      <w:pPr>
        <w:rPr>
          <w:lang w:bidi="ar-DZ"/>
        </w:rPr>
      </w:pPr>
    </w:p>
    <w:p w:rsidR="00D41D51" w:rsidRPr="00D41D51" w:rsidRDefault="00D41D51" w:rsidP="00D41D51">
      <w:pPr>
        <w:rPr>
          <w:lang w:bidi="ar-DZ"/>
        </w:rPr>
      </w:pPr>
    </w:p>
    <w:p w:rsidR="00D41D51" w:rsidRPr="00D41D51" w:rsidRDefault="00D41D51" w:rsidP="00D41D51">
      <w:pPr>
        <w:rPr>
          <w:lang w:bidi="ar-DZ"/>
        </w:rPr>
      </w:pPr>
    </w:p>
    <w:p w:rsidR="00D41D51" w:rsidRPr="00D41D51" w:rsidRDefault="00D41D51" w:rsidP="00D41D51">
      <w:pPr>
        <w:rPr>
          <w:lang w:bidi="ar-DZ"/>
        </w:rPr>
      </w:pPr>
    </w:p>
    <w:p w:rsidR="00D41D51" w:rsidRPr="00D41D51" w:rsidRDefault="00D41D51" w:rsidP="00D41D51">
      <w:pPr>
        <w:rPr>
          <w:lang w:bidi="ar-DZ"/>
        </w:rPr>
      </w:pPr>
    </w:p>
    <w:p w:rsidR="00D41D51" w:rsidRPr="00D41D51" w:rsidRDefault="00D41D51" w:rsidP="00D41D51">
      <w:pPr>
        <w:rPr>
          <w:lang w:bidi="ar-DZ"/>
        </w:rPr>
      </w:pPr>
    </w:p>
    <w:p w:rsidR="00D41D51" w:rsidRDefault="00D41D51" w:rsidP="00D41D51">
      <w:pPr>
        <w:rPr>
          <w:lang w:bidi="ar-DZ"/>
        </w:rPr>
      </w:pPr>
    </w:p>
    <w:p w:rsidR="00D41D51" w:rsidRDefault="00D41D51" w:rsidP="00D41D51">
      <w:pPr>
        <w:rPr>
          <w:lang w:bidi="ar-DZ"/>
        </w:rPr>
      </w:pPr>
    </w:p>
    <w:p w:rsidR="00D41D51" w:rsidRDefault="00D41D51" w:rsidP="00D41D51">
      <w:pPr>
        <w:rPr>
          <w:lang w:bidi="ar-DZ"/>
        </w:rPr>
      </w:pPr>
    </w:p>
    <w:p w:rsidR="00D41D51" w:rsidRDefault="00D41D51" w:rsidP="00D41D51">
      <w:pPr>
        <w:rPr>
          <w:lang w:bidi="ar-DZ"/>
        </w:rPr>
      </w:pPr>
    </w:p>
    <w:p w:rsidR="00D41D51" w:rsidRDefault="00D41D51" w:rsidP="00D41D51">
      <w:pPr>
        <w:rPr>
          <w:lang w:bidi="ar-DZ"/>
        </w:rPr>
      </w:pPr>
    </w:p>
    <w:p w:rsidR="00D41D51" w:rsidRDefault="00D41D51" w:rsidP="00D41D51">
      <w:pPr>
        <w:rPr>
          <w:lang w:bidi="ar-DZ"/>
        </w:rPr>
      </w:pPr>
      <w:r>
        <w:rPr>
          <w:lang w:bidi="ar-DZ"/>
        </w:rPr>
        <w:t xml:space="preserve">                           </w:t>
      </w:r>
    </w:p>
    <w:p w:rsidR="00D41D51" w:rsidRDefault="00D41D51" w:rsidP="00D41D51">
      <w:pPr>
        <w:rPr>
          <w:lang w:bidi="ar-DZ"/>
        </w:rPr>
      </w:pPr>
      <w:r>
        <w:rPr>
          <w:lang w:bidi="ar-DZ"/>
        </w:rPr>
        <w:t xml:space="preserve">                           </w:t>
      </w:r>
      <w:proofErr w:type="spellStart"/>
      <w:r>
        <w:rPr>
          <w:lang w:bidi="ar-DZ"/>
        </w:rPr>
        <w:t>Tamisats</w:t>
      </w:r>
      <w:proofErr w:type="spellEnd"/>
      <w:r>
        <w:rPr>
          <w:lang w:bidi="ar-DZ"/>
        </w:rPr>
        <w:t>(%)</w:t>
      </w:r>
    </w:p>
    <w:p w:rsidR="00D41D51" w:rsidRDefault="00D41D51" w:rsidP="00D41D51">
      <w:pPr>
        <w:rPr>
          <w:lang w:bidi="ar-DZ"/>
        </w:rPr>
      </w:pPr>
      <w:r>
        <w:rPr>
          <w:lang w:bidi="ar-DZ"/>
        </w:rPr>
        <w:t xml:space="preserve">                             </w:t>
      </w:r>
      <w:r w:rsidRPr="00D41D51">
        <w:rPr>
          <w:noProof/>
          <w:lang w:val="en-US" w:eastAsia="en-US"/>
        </w:rPr>
        <w:drawing>
          <wp:inline distT="0" distB="0" distL="0" distR="0">
            <wp:extent cx="4572000" cy="2743200"/>
            <wp:effectExtent l="19050" t="0" r="19050"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lang w:bidi="ar-DZ"/>
        </w:rPr>
        <w:t xml:space="preserve"> </w:t>
      </w:r>
      <w:proofErr w:type="gramStart"/>
      <w:r>
        <w:rPr>
          <w:lang w:bidi="ar-DZ"/>
        </w:rPr>
        <w:t>tamis</w:t>
      </w:r>
      <w:proofErr w:type="gramEnd"/>
      <w:r>
        <w:rPr>
          <w:lang w:bidi="ar-DZ"/>
        </w:rPr>
        <w:t xml:space="preserve"> (mm)    </w:t>
      </w:r>
    </w:p>
    <w:p w:rsidR="00CC2AFA" w:rsidRPr="00D41D51" w:rsidRDefault="00D41D51" w:rsidP="00D41D51">
      <w:pPr>
        <w:rPr>
          <w:b/>
          <w:bCs/>
          <w:color w:val="000000" w:themeColor="text1"/>
          <w:sz w:val="28"/>
          <w:szCs w:val="28"/>
          <w:u w:val="single"/>
          <w:lang w:bidi="ar-DZ"/>
        </w:rPr>
      </w:pPr>
      <w:r>
        <w:rPr>
          <w:lang w:bidi="ar-DZ"/>
        </w:rPr>
        <w:t xml:space="preserve">                   </w:t>
      </w:r>
      <w:r>
        <w:rPr>
          <w:rStyle w:val="Emphasis"/>
          <w:color w:val="424242"/>
          <w:sz w:val="22"/>
          <w:szCs w:val="22"/>
        </w:rPr>
        <w:t xml:space="preserve">                                       </w:t>
      </w:r>
      <w:r w:rsidRPr="00D41D51">
        <w:rPr>
          <w:rStyle w:val="Emphasis"/>
          <w:b/>
          <w:bCs/>
          <w:color w:val="000000" w:themeColor="text1"/>
          <w:sz w:val="28"/>
          <w:szCs w:val="28"/>
          <w:u w:val="single"/>
        </w:rPr>
        <w:t xml:space="preserve"> Courbe granulométrique d'un </w:t>
      </w:r>
      <w:r w:rsidRPr="00D41D51">
        <w:rPr>
          <w:rStyle w:val="adef"/>
          <w:b/>
          <w:bCs/>
          <w:i/>
          <w:iCs/>
          <w:color w:val="000000" w:themeColor="text1"/>
          <w:sz w:val="28"/>
          <w:szCs w:val="28"/>
          <w:u w:val="single"/>
        </w:rPr>
        <w:t>sable</w:t>
      </w:r>
      <w:r w:rsidRPr="00D41D51">
        <w:rPr>
          <w:b/>
          <w:bCs/>
          <w:color w:val="000000" w:themeColor="text1"/>
          <w:sz w:val="28"/>
          <w:szCs w:val="28"/>
          <w:u w:val="single"/>
          <w:lang w:bidi="ar-DZ"/>
        </w:rPr>
        <w:t xml:space="preserve">                                                 </w:t>
      </w:r>
    </w:p>
    <w:sectPr w:rsidR="00CC2AFA" w:rsidRPr="00D41D51" w:rsidSect="000518C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2"/>
  </w:compat>
  <w:rsids>
    <w:rsidRoot w:val="000518CA"/>
    <w:rsid w:val="000518CA"/>
    <w:rsid w:val="002755E0"/>
    <w:rsid w:val="004B5123"/>
    <w:rsid w:val="004E3F96"/>
    <w:rsid w:val="00BA0BE8"/>
    <w:rsid w:val="00CC2AFA"/>
    <w:rsid w:val="00D41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1619B-B786-4BC4-8705-603A0207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CA"/>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ef">
    <w:name w:val="adef"/>
    <w:basedOn w:val="DefaultParagraphFont"/>
    <w:rsid w:val="000518CA"/>
    <w:rPr>
      <w:color w:val="8B008B"/>
    </w:rPr>
  </w:style>
  <w:style w:type="character" w:styleId="Emphasis">
    <w:name w:val="Emphasis"/>
    <w:basedOn w:val="DefaultParagraphFont"/>
    <w:qFormat/>
    <w:rsid w:val="000518CA"/>
    <w:rPr>
      <w:i/>
      <w:iCs/>
    </w:rPr>
  </w:style>
  <w:style w:type="paragraph" w:styleId="BalloonText">
    <w:name w:val="Balloon Text"/>
    <w:basedOn w:val="Normal"/>
    <w:link w:val="BalloonTextChar"/>
    <w:uiPriority w:val="99"/>
    <w:semiHidden/>
    <w:unhideWhenUsed/>
    <w:rsid w:val="000518CA"/>
    <w:rPr>
      <w:rFonts w:ascii="Tahoma" w:hAnsi="Tahoma" w:cs="Tahoma"/>
      <w:sz w:val="16"/>
      <w:szCs w:val="16"/>
    </w:rPr>
  </w:style>
  <w:style w:type="character" w:customStyle="1" w:styleId="BalloonTextChar">
    <w:name w:val="Balloon Text Char"/>
    <w:basedOn w:val="DefaultParagraphFont"/>
    <w:link w:val="BalloonText"/>
    <w:uiPriority w:val="99"/>
    <w:semiHidden/>
    <w:rsid w:val="000518CA"/>
    <w:rPr>
      <w:rFonts w:ascii="Tahoma" w:eastAsia="Times New Roman" w:hAnsi="Tahoma" w:cs="Tahoma"/>
      <w:sz w:val="16"/>
      <w:szCs w:val="16"/>
      <w:lang w:val="fr-FR" w:eastAsia="fr-FR"/>
    </w:rPr>
  </w:style>
  <w:style w:type="table" w:styleId="TableGrid">
    <w:name w:val="Table Grid"/>
    <w:basedOn w:val="TableNormal"/>
    <w:uiPriority w:val="59"/>
    <w:rsid w:val="00051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xVal>
            <c:numLit>
              <c:formatCode>General</c:formatCode>
              <c:ptCount val="8"/>
              <c:pt idx="0">
                <c:v>0</c:v>
              </c:pt>
              <c:pt idx="1">
                <c:v>8.0000000000000043E-2</c:v>
              </c:pt>
              <c:pt idx="2">
                <c:v>0.16</c:v>
              </c:pt>
              <c:pt idx="3">
                <c:v>0.31500000000000022</c:v>
              </c:pt>
              <c:pt idx="4">
                <c:v>0.63000000000000045</c:v>
              </c:pt>
              <c:pt idx="5">
                <c:v>1.25</c:v>
              </c:pt>
              <c:pt idx="6">
                <c:v>2.5</c:v>
              </c:pt>
              <c:pt idx="7">
                <c:v>5</c:v>
              </c:pt>
            </c:numLit>
          </c:xVal>
          <c:yVal>
            <c:numLit>
              <c:formatCode>General</c:formatCode>
              <c:ptCount val="8"/>
              <c:pt idx="0">
                <c:v>4.8</c:v>
              </c:pt>
              <c:pt idx="1">
                <c:v>5.7</c:v>
              </c:pt>
              <c:pt idx="2">
                <c:v>11.9</c:v>
              </c:pt>
              <c:pt idx="3">
                <c:v>23.8</c:v>
              </c:pt>
              <c:pt idx="4">
                <c:v>44.3</c:v>
              </c:pt>
              <c:pt idx="5">
                <c:v>51</c:v>
              </c:pt>
              <c:pt idx="6">
                <c:v>75.3</c:v>
              </c:pt>
              <c:pt idx="7">
                <c:v>98</c:v>
              </c:pt>
            </c:numLit>
          </c:yVal>
          <c:smooth val="1"/>
        </c:ser>
        <c:dLbls>
          <c:showLegendKey val="0"/>
          <c:showVal val="0"/>
          <c:showCatName val="0"/>
          <c:showSerName val="0"/>
          <c:showPercent val="0"/>
          <c:showBubbleSize val="0"/>
        </c:dLbls>
        <c:axId val="1587563936"/>
        <c:axId val="1587568832"/>
      </c:scatterChart>
      <c:valAx>
        <c:axId val="1587563936"/>
        <c:scaling>
          <c:orientation val="minMax"/>
        </c:scaling>
        <c:delete val="0"/>
        <c:axPos val="b"/>
        <c:numFmt formatCode="General" sourceLinked="1"/>
        <c:majorTickMark val="out"/>
        <c:minorTickMark val="none"/>
        <c:tickLblPos val="nextTo"/>
        <c:crossAx val="1587568832"/>
        <c:crosses val="autoZero"/>
        <c:crossBetween val="midCat"/>
      </c:valAx>
      <c:valAx>
        <c:axId val="1587568832"/>
        <c:scaling>
          <c:orientation val="minMax"/>
          <c:max val="100"/>
          <c:min val="0"/>
        </c:scaling>
        <c:delete val="0"/>
        <c:axPos val="l"/>
        <c:majorGridlines/>
        <c:numFmt formatCode="General" sourceLinked="1"/>
        <c:majorTickMark val="out"/>
        <c:minorTickMark val="none"/>
        <c:tickLblPos val="nextTo"/>
        <c:crossAx val="1587563936"/>
        <c:crosses val="autoZero"/>
        <c:crossBetween val="midCat"/>
        <c:majorUnit val="20"/>
        <c:minorUnit val="4"/>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chams eddine</dc:creator>
  <cp:lastModifiedBy>PC</cp:lastModifiedBy>
  <cp:revision>4</cp:revision>
  <dcterms:created xsi:type="dcterms:W3CDTF">2009-04-17T15:18:00Z</dcterms:created>
  <dcterms:modified xsi:type="dcterms:W3CDTF">2019-10-25T16:42:00Z</dcterms:modified>
</cp:coreProperties>
</file>